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sz w:val="28"/>
          <w:szCs w:val="28"/>
          <w:rtl w:val="0"/>
        </w:rPr>
        <w:t xml:space="preserve">Propuesta de actividad acreditable como práctica pre-profesional </w:t>
      </w:r>
    </w:p>
    <w:p w:rsidR="00000000" w:rsidDel="00000000" w:rsidP="00000000" w:rsidRDefault="00000000" w:rsidRPr="00000000">
      <w:pPr>
        <w:spacing w:after="0" w:before="0" w:line="276" w:lineRule="auto"/>
        <w:contextualSpacing w:val="0"/>
        <w:jc w:val="center"/>
      </w:pPr>
      <w:r w:rsidDel="00000000" w:rsidR="00000000" w:rsidRPr="00000000">
        <w:rPr>
          <w:sz w:val="28"/>
          <w:szCs w:val="28"/>
          <w:rtl w:val="0"/>
        </w:rPr>
        <w:t xml:space="preserve">para estudiantes del IC</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t xml:space="preserve">Equipo docente</w:t>
      </w:r>
    </w:p>
    <w:p w:rsidR="00000000" w:rsidDel="00000000" w:rsidP="00000000" w:rsidRDefault="00000000" w:rsidRPr="00000000">
      <w:pPr>
        <w:spacing w:after="0" w:before="0" w:line="276" w:lineRule="auto"/>
        <w:contextualSpacing w:val="0"/>
        <w:jc w:val="center"/>
      </w:pPr>
      <w:r w:rsidDel="00000000" w:rsidR="00000000" w:rsidRPr="00000000">
        <w:rPr>
          <w:rtl w:val="0"/>
        </w:rPr>
        <w:t xml:space="preserve">Fernando González Perilli</w:t>
      </w:r>
      <w:r w:rsidDel="00000000" w:rsidR="00000000" w:rsidRPr="00000000">
        <w:rPr>
          <w:vertAlign w:val="superscript"/>
        </w:rPr>
        <w:footnoteReference w:customMarkFollows="0" w:id="0"/>
      </w:r>
      <w:r w:rsidDel="00000000" w:rsidR="00000000" w:rsidRPr="00000000">
        <w:rPr>
          <w:rtl w:val="0"/>
        </w:rPr>
        <w:t xml:space="preserve"> y Natalia H. Correa</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Introducción y contextualización</w:t>
      </w:r>
    </w:p>
    <w:p w:rsidR="00000000" w:rsidDel="00000000" w:rsidP="00000000" w:rsidRDefault="00000000" w:rsidRPr="00000000">
      <w:pPr>
        <w:spacing w:after="0" w:before="0" w:line="276" w:lineRule="auto"/>
        <w:contextualSpacing w:val="0"/>
      </w:pPr>
      <w:r w:rsidDel="00000000" w:rsidR="00000000" w:rsidRPr="00000000">
        <w:rPr>
          <w:rtl w:val="0"/>
        </w:rPr>
        <w:tab/>
        <w:t xml:space="preserve"> </w:t>
        <w:tab/>
        <w:t xml:space="preserve"> </w:t>
        <w:tab/>
        <w:t xml:space="preserve"> </w:t>
        <w:tab/>
      </w:r>
    </w:p>
    <w:p w:rsidR="00000000" w:rsidDel="00000000" w:rsidP="00000000" w:rsidRDefault="00000000" w:rsidRPr="00000000">
      <w:pPr>
        <w:spacing w:after="0" w:before="0" w:line="276" w:lineRule="auto"/>
        <w:contextualSpacing w:val="0"/>
      </w:pPr>
      <w:r w:rsidDel="00000000" w:rsidR="00000000" w:rsidRPr="00000000">
        <w:rPr>
          <w:rtl w:val="0"/>
        </w:rPr>
        <w:t xml:space="preserve">El proyecto de investigación “Educación Tangible. Nuevas formas de interacción para el aprendizaje” (CETA) fue financiado por el Fondo Sectorial "Inclusión Digital: Educación con Nuevos Horizontes" - 2015 de la ANII y Fundación Ceibal y se ejecuta entre el 1.04.16 y el 1.08.17. Se trata de un proyecto interdisciplicario entre Facultad de Información y Comunicación, Facultad de Psicología, Escuela Universitaria Centro de Diseño (de FADU) y la Facultad de Ingeniería de la UdelaR en colaboración con Universidad Pompeu Fabra de Barcelona. El mismo pretende ampliar las posibilidades de uso de las tablets del Plan Ceibal permitiendo la interacción con objetos reales en el espacio a partir del desarrollo de un sistema de visión por computadora. Basándose en este esquema de interacción se desarrollará una aplicación. Esta aplicación será en formato juego y estará orientada a la estimulación cognitiva de las habilidades matemáticas de niños de 1º y 2º año de escuela.</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El proyecto mencionado prevé la difusión de sus actividades en diversos medios electrónicos a partir de un plan de comunicación. En dicho marco, se propone la incorporación de estudiantes de la Licenciatura en Comunicación al equipo del proyecto con la finalidad de que puedan realizar una actividad de práctica pre-profesional.</w:t>
      </w:r>
    </w:p>
    <w:p w:rsidR="00000000" w:rsidDel="00000000" w:rsidP="00000000" w:rsidRDefault="00000000" w:rsidRPr="00000000">
      <w:pPr>
        <w:spacing w:after="0" w:before="0" w:line="276" w:lineRule="auto"/>
        <w:contextualSpacing w:val="0"/>
      </w:pPr>
      <w:r w:rsidDel="00000000" w:rsidR="00000000" w:rsidRPr="00000000">
        <w:rPr>
          <w:rtl w:val="0"/>
        </w:rPr>
        <w:t xml:space="preserve"> </w:t>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Actividades a realizar por los estudiantes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Como encuadre general, los estudiantes que se sumen a esta propuesta participarán en el diseño del plan de comunicación y en el desarrollo de las dos primeras actividades relacionadas al mismo</w:t>
      </w:r>
      <w:r w:rsidDel="00000000" w:rsidR="00000000" w:rsidRPr="00000000">
        <w:rPr>
          <w:vertAlign w:val="superscript"/>
        </w:rPr>
        <w:footnoteReference w:customMarkFollows="0" w:id="1"/>
      </w:r>
      <w:r w:rsidDel="00000000" w:rsidR="00000000" w:rsidRPr="00000000">
        <w:rPr>
          <w:rtl w:val="0"/>
        </w:rPr>
        <w:t xml:space="preserve">: a) Elaboración de identidad gráfica de CETA, y b) Desarrollo de un portal web.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En ese sentido, l</w:t>
      </w:r>
      <w:r w:rsidDel="00000000" w:rsidR="00000000" w:rsidRPr="00000000">
        <w:rPr>
          <w:rtl w:val="0"/>
        </w:rPr>
        <w:t xml:space="preserve">os estudiantes que opten por incorporarse a esta actividad deberán:</w:t>
      </w:r>
    </w:p>
    <w:p w:rsidR="00000000" w:rsidDel="00000000" w:rsidP="00000000" w:rsidRDefault="00000000" w:rsidRPr="00000000">
      <w:pPr>
        <w:numPr>
          <w:ilvl w:val="0"/>
          <w:numId w:val="1"/>
        </w:numPr>
        <w:spacing w:after="0" w:before="0" w:line="276" w:lineRule="auto"/>
        <w:ind w:left="720" w:hanging="360"/>
        <w:rPr/>
      </w:pPr>
      <w:r w:rsidDel="00000000" w:rsidR="00000000" w:rsidRPr="00000000">
        <w:rPr>
          <w:rtl w:val="0"/>
        </w:rPr>
        <w:t xml:space="preserve">Colaborar con el equipo del proyecto en el diseño del plan de comunicación (públicos, medios a utilizar y sus propósitos, esbozo de un manual de estilo de las comunicaciones, etc.).</w:t>
      </w:r>
    </w:p>
    <w:p w:rsidR="00000000" w:rsidDel="00000000" w:rsidP="00000000" w:rsidRDefault="00000000" w:rsidRPr="00000000">
      <w:pPr>
        <w:numPr>
          <w:ilvl w:val="0"/>
          <w:numId w:val="1"/>
        </w:numPr>
        <w:spacing w:after="0" w:before="0" w:line="276" w:lineRule="auto"/>
        <w:ind w:left="720" w:hanging="360"/>
        <w:rPr/>
      </w:pPr>
      <w:r w:rsidDel="00000000" w:rsidR="00000000" w:rsidRPr="00000000">
        <w:rPr>
          <w:rtl w:val="0"/>
        </w:rPr>
        <w:t xml:space="preserve">Participar en la elaboración de la identidad gráfica de CETA (logo, membretería, afiches, banners, template presentaciones, etc.)</w:t>
      </w:r>
    </w:p>
    <w:p w:rsidR="00000000" w:rsidDel="00000000" w:rsidP="00000000" w:rsidRDefault="00000000" w:rsidRPr="00000000">
      <w:pPr>
        <w:numPr>
          <w:ilvl w:val="0"/>
          <w:numId w:val="1"/>
        </w:numPr>
        <w:spacing w:after="0" w:before="0" w:line="276" w:lineRule="auto"/>
        <w:ind w:left="720" w:hanging="360"/>
        <w:rPr/>
      </w:pPr>
      <w:r w:rsidDel="00000000" w:rsidR="00000000" w:rsidRPr="00000000">
        <w:rPr>
          <w:rtl w:val="0"/>
        </w:rPr>
        <w:t xml:space="preserve">Desarrollar el portal web del proyecto (definición de los contenidos y su estructura, montaje en el gestor de contenidos, dominio web, etc.)</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Aspectos didácticos: modalidad de cursado, metodología y rol docente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La modalidad será semi-presencial, combinando encuentros presenciales con actividades no presenciales interencuentros. Para los encuentros presenciales se utilizará la estrategia de taller bajo una dinámica de reunión de trabajo. En lo no presencial los estudiantes participarán de actividades de estudio y producción grupales, tanto en el EVA como en medios sociales.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El rol principal del equipo docente será el de orientador/tutor, coordinando el conjunto de las tareas. Asimismo, desarrollará materiales educativos y seleccionará recursos de apoyo que colaboren con la realización de las actividades y estimulará la producción y selección de materiales por parte de los estudiantes.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Criterios de selección de colaboradores.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La selección se hará en base a la escolaridad.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Por la naturaleza de las actividades propuestas, se sugiere que esta actividad se encuentre dirigida a estudiantes de los ciclos de profundización y graduación de la Licenciatura en Comunicación.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Como conocimientos previos se valorará haber cursado o estar cursando el Taller de comunicación Oral y Escrita y unidades curriculares vinculadas con el Trayecto Organizacional (Comunicación estratégica, Identidad e imagen organizacional) y con el Trayecto Publicidad (Creatividad publicitaria, Imagen II, Introducción al diseño gráfico, Planificación de medios, Marketing básico).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Asimismo, se valorará haber cursado unidades curriculares ofrecidas por la Sección Académica “Lenguajes multimediales y tecnologías de la comunicación” (Introducción a las TIC, Multimedia I y Multimedia II).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Se tendrán en cuenta estudiantes que posean, por último, conocimientos previos de software de diseño gráfico y web.</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i w:val="1"/>
          <w:rtl w:val="0"/>
        </w:rPr>
        <w:t xml:space="preserve">Propuesta de créditos a asignar:</w:t>
      </w:r>
      <w:r w:rsidDel="00000000" w:rsidR="00000000" w:rsidRPr="00000000">
        <w:rPr>
          <w:rtl w:val="0"/>
        </w:rPr>
        <w:t xml:space="preserve"> 9 (135 horas)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i w:val="1"/>
          <w:rtl w:val="0"/>
        </w:rPr>
        <w:t xml:space="preserve">Propuesta de acreditación</w:t>
      </w:r>
      <w:r w:rsidDel="00000000" w:rsidR="00000000" w:rsidRPr="00000000">
        <w:rPr>
          <w:i w:val="1"/>
          <w:rtl w:val="0"/>
        </w:rPr>
        <w:t xml:space="preserve">: </w:t>
      </w:r>
      <w:r w:rsidDel="00000000" w:rsidR="00000000" w:rsidRPr="00000000">
        <w:rPr>
          <w:rtl w:val="0"/>
        </w:rPr>
        <w:t xml:space="preserve">P</w:t>
      </w:r>
      <w:r w:rsidDel="00000000" w:rsidR="00000000" w:rsidRPr="00000000">
        <w:rPr>
          <w:rtl w:val="0"/>
        </w:rPr>
        <w:t xml:space="preserve">ráctica pre-profesional.</w:t>
      </w:r>
    </w:p>
    <w:p w:rsidR="00000000" w:rsidDel="00000000" w:rsidP="00000000" w:rsidRDefault="00000000" w:rsidRPr="00000000">
      <w:pPr>
        <w:spacing w:after="0" w:before="0" w:line="276"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Para 2017 se prevé, asimismo, </w:t>
      </w:r>
      <w:r w:rsidDel="00000000" w:rsidR="00000000" w:rsidRPr="00000000">
        <w:rPr>
          <w:sz w:val="20"/>
          <w:szCs w:val="20"/>
          <w:rtl w:val="0"/>
        </w:rPr>
        <w:t xml:space="preserve">la realización de actividades de dinamización de comunidades virtuales en medios sociales (Facebook, Twitter, Instagram por ej.) a partir de una nueva convocatoria a estudiantes.</w:t>
      </w:r>
      <w:r w:rsidDel="00000000" w:rsidR="00000000" w:rsidRPr="00000000">
        <w:rPr>
          <w:rtl w:val="0"/>
        </w:rPr>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Responsable Científico del Proyecto “Educación Tangible. Nuevas formas de interacción para el aprendizaje” (CETA).</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